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3" w:type="dxa"/>
        <w:tblLayout w:type="fixed"/>
        <w:tblCellMar>
          <w:left w:w="70" w:type="dxa"/>
          <w:right w:w="70" w:type="dxa"/>
        </w:tblCellMar>
        <w:tblLook w:val="04A0"/>
      </w:tblPr>
      <w:tblGrid>
        <w:gridCol w:w="567"/>
        <w:gridCol w:w="4811"/>
        <w:gridCol w:w="5245"/>
        <w:gridCol w:w="160"/>
      </w:tblGrid>
      <w:tr w:rsidR="00497E8F"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thesubmittedresearch/ artistic/other output</w:t>
            </w:r>
          </w:p>
        </w:tc>
      </w:tr>
      <w:tr w:rsidR="00497E8F" w:rsidTr="00FB7D01">
        <w:trPr>
          <w:trHeight w:val="450"/>
        </w:trPr>
        <w:tc>
          <w:tcPr>
            <w:tcW w:w="10623" w:type="dxa"/>
            <w:gridSpan w:val="3"/>
            <w:vMerge/>
            <w:tcBorders>
              <w:top w:val="nil"/>
              <w:left w:val="nil"/>
              <w:bottom w:val="nil"/>
              <w:right w:val="nil"/>
            </w:tcBorders>
            <w:vAlign w:val="center"/>
          </w:tcPr>
          <w:p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rsidR="00497E8F" w:rsidRDefault="00497E8F">
            <w:pPr>
              <w:spacing w:after="0" w:line="240" w:lineRule="auto"/>
              <w:jc w:val="center"/>
              <w:rPr>
                <w:rFonts w:ascii="Calibri" w:eastAsia="Times New Roman" w:hAnsi="Calibri" w:cs="Calibri"/>
                <w:b/>
                <w:bCs/>
                <w:color w:val="FFFFFF"/>
                <w:lang w:eastAsia="sk-SK"/>
              </w:rPr>
            </w:pPr>
          </w:p>
        </w:tc>
      </w:tr>
      <w:tr w:rsidR="00497E8F" w:rsidTr="00FB7D01">
        <w:trPr>
          <w:trHeight w:val="60"/>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75"/>
        </w:trPr>
        <w:tc>
          <w:tcPr>
            <w:tcW w:w="10623" w:type="dxa"/>
            <w:gridSpan w:val="3"/>
            <w:vMerge w:val="restart"/>
            <w:tcBorders>
              <w:top w:val="nil"/>
              <w:left w:val="nil"/>
              <w:bottom w:val="nil"/>
              <w:right w:val="nil"/>
            </w:tcBorders>
            <w:shd w:val="clear" w:color="auto" w:fill="auto"/>
            <w:vAlign w:val="bottom"/>
          </w:tcPr>
          <w:p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Theformisused to submittheresearch/artistic/otheroutputsaccording to theevaluationmethodology of research/artistic/otheractivities (part V. TheMethodologyforStandardsEvaluation).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75"/>
        </w:trPr>
        <w:tc>
          <w:tcPr>
            <w:tcW w:w="10623" w:type="dxa"/>
            <w:gridSpan w:val="3"/>
            <w:vMerge/>
            <w:tcBorders>
              <w:top w:val="nil"/>
              <w:left w:val="nil"/>
              <w:bottom w:val="nil"/>
              <w:right w:val="nil"/>
            </w:tcBorders>
            <w:vAlign w:val="center"/>
          </w:tcPr>
          <w:p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rsidR="00497E8F" w:rsidRDefault="00497E8F">
            <w:pPr>
              <w:spacing w:after="0" w:line="240" w:lineRule="auto"/>
              <w:rPr>
                <w:rFonts w:ascii="Calibri" w:eastAsia="Times New Roman" w:hAnsi="Calibri" w:cs="Calibri"/>
                <w:i/>
                <w:iCs/>
                <w:color w:val="2F5597"/>
                <w:sz w:val="16"/>
                <w:szCs w:val="16"/>
                <w:lang w:eastAsia="sk-SK"/>
              </w:rPr>
            </w:pPr>
          </w:p>
        </w:tc>
      </w:tr>
      <w:tr w:rsidR="00497E8F" w:rsidTr="00FB7D01">
        <w:trPr>
          <w:trHeight w:val="90"/>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4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4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270EC5">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270EC5">
              <w:rPr>
                <w:rFonts w:ascii="Calibri" w:eastAsia="Times New Roman" w:hAnsi="Calibri" w:cs="Calibri"/>
                <w:sz w:val="16"/>
                <w:szCs w:val="16"/>
                <w:lang w:eastAsia="sk-SK"/>
              </w:rPr>
              <w:t>Kód VTC/Code of theresearch/artistic/other output (RAOO):</w:t>
            </w:r>
            <w:r w:rsidR="00270EC5">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40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rsidR="00497E8F" w:rsidRDefault="006F536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Matulník</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497E8F" w:rsidRDefault="006F536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Jozef</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497E8F" w:rsidRPr="007E1DDE" w:rsidRDefault="006F536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prof. PhDr. PhD. MPH</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OCA4. Hyperlink na záznam osoby v Registri zamestnancov vysokých škôl / Hyperlink to theentry of the person in the Register of universitystaff</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rsidR="00497E8F" w:rsidRPr="005B40FD"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hyperlink r:id="rId13" w:anchor="'poznamky_explanatory notes'!A1" w:history="1">
              <w:r w:rsidR="00270EC5">
                <w:rPr>
                  <w:rFonts w:ascii="Calibri" w:eastAsia="Times New Roman" w:hAnsi="Calibri" w:cs="Calibri"/>
                  <w:sz w:val="16"/>
                  <w:szCs w:val="16"/>
                  <w:lang w:eastAsia="sk-SK"/>
                </w:rPr>
                <w:t>OCA5. Oblasť posudzovania / Area of assessment</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rsidR="00497E8F" w:rsidRDefault="000C166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Sociolna práca , Ošetrovateľstvo, Psychológia</w:t>
            </w:r>
            <w:r w:rsidRPr="007E1DDE">
              <w:rPr>
                <w:rFonts w:ascii="Calibri" w:eastAsia="Times New Roman" w:hAnsi="Calibri" w:cs="Calibri"/>
                <w:color w:val="000000"/>
                <w:sz w:val="16"/>
                <w:szCs w:val="16"/>
                <w:lang w:eastAsia="sk-SK"/>
              </w:rPr>
              <w:t>.</w:t>
            </w:r>
            <w:r>
              <w:rPr>
                <w:rFonts w:ascii="Calibri" w:eastAsia="Times New Roman" w:hAnsi="Calibri" w:cs="Calibri"/>
                <w:color w:val="000000"/>
                <w:sz w:val="16"/>
                <w:szCs w:val="16"/>
                <w:lang w:eastAsia="sk-SK"/>
              </w:rPr>
              <w:t>, I.</w:t>
            </w:r>
            <w:r w:rsidRPr="007E1DDE">
              <w:rPr>
                <w:rFonts w:ascii="Calibri" w:eastAsia="Times New Roman" w:hAnsi="Calibri" w:cs="Calibri"/>
                <w:color w:val="000000"/>
                <w:sz w:val="16"/>
                <w:szCs w:val="16"/>
                <w:lang w:eastAsia="sk-SK"/>
              </w:rPr>
              <w:t xml:space="preserve">stupeň/ </w:t>
            </w:r>
            <w:r>
              <w:rPr>
                <w:rFonts w:ascii="Calibri" w:eastAsia="Times New Roman" w:hAnsi="Calibri" w:cs="Calibri"/>
                <w:color w:val="000000"/>
                <w:sz w:val="16"/>
                <w:szCs w:val="16"/>
                <w:lang w:eastAsia="sk-SK"/>
              </w:rPr>
              <w:t xml:space="preserve">Social work, Nursing, Psychology 1st. </w:t>
            </w:r>
            <w:r w:rsidRPr="007E1DDE">
              <w:rPr>
                <w:rFonts w:ascii="Calibri" w:eastAsia="Times New Roman" w:hAnsi="Calibri" w:cs="Calibri"/>
                <w:color w:val="000000"/>
                <w:sz w:val="16"/>
                <w:szCs w:val="16"/>
                <w:lang w:eastAsia="sk-SK"/>
              </w:rPr>
              <w:t>degree</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hyperlink r:id="rId14" w:anchor="Expl.OCA6!A1" w:history="1">
              <w:r w:rsidR="00270EC5">
                <w:rPr>
                  <w:rFonts w:ascii="Calibri" w:eastAsia="Times New Roman" w:hAnsi="Calibri" w:cs="Calibri"/>
                  <w:sz w:val="16"/>
                  <w:szCs w:val="16"/>
                  <w:lang w:eastAsia="sk-SK"/>
                </w:rPr>
                <w:t xml:space="preserve">OCA6. Kategória výstupu tvorivej činnosti / Category of theresearch/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Choicefrom 6 options (seeExplanationsfor OCA6). </w:t>
              </w:r>
            </w:hyperlink>
          </w:p>
        </w:tc>
        <w:tc>
          <w:tcPr>
            <w:tcW w:w="5245" w:type="dxa"/>
            <w:tcBorders>
              <w:top w:val="nil"/>
              <w:left w:val="nil"/>
              <w:bottom w:val="single" w:sz="8" w:space="0" w:color="auto"/>
              <w:right w:val="single" w:sz="8" w:space="0" w:color="auto"/>
            </w:tcBorders>
            <w:shd w:val="clear" w:color="auto" w:fill="auto"/>
          </w:tcPr>
          <w:p w:rsidR="00497E8F" w:rsidRDefault="006F536C">
            <w:pPr>
              <w:pStyle w:val="Normlny1"/>
              <w:rPr>
                <w:rFonts w:ascii="Calibri" w:eastAsia="Times New Roman" w:hAnsi="Calibri" w:cs="Calibri"/>
                <w:i/>
                <w:iCs/>
                <w:color w:val="000000"/>
                <w:sz w:val="16"/>
                <w:szCs w:val="16"/>
              </w:rPr>
            </w:pPr>
            <w:r>
              <w:rPr>
                <w:rFonts w:ascii="Calibri" w:eastAsia="Times New Roman" w:hAnsi="Calibri" w:cs="Calibri"/>
                <w:i/>
                <w:iCs/>
                <w:color w:val="000000"/>
                <w:sz w:val="16"/>
                <w:szCs w:val="16"/>
              </w:rPr>
              <w:t>Vedecký výstup/scientific outpud</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theresearch/artistic/other output</w:t>
            </w:r>
          </w:p>
        </w:tc>
        <w:tc>
          <w:tcPr>
            <w:tcW w:w="5245" w:type="dxa"/>
            <w:tcBorders>
              <w:top w:val="nil"/>
              <w:left w:val="nil"/>
              <w:bottom w:val="single" w:sz="8" w:space="0" w:color="auto"/>
              <w:right w:val="single" w:sz="8" w:space="0" w:color="auto"/>
            </w:tcBorders>
            <w:shd w:val="clear" w:color="auto" w:fill="auto"/>
          </w:tcPr>
          <w:p w:rsidR="00497E8F" w:rsidRDefault="006F536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w:t>
            </w:r>
            <w:r w:rsidR="000C1668">
              <w:rPr>
                <w:rFonts w:ascii="Calibri" w:eastAsia="Times New Roman" w:hAnsi="Calibri" w:cs="Calibri"/>
                <w:color w:val="000000"/>
                <w:sz w:val="16"/>
                <w:szCs w:val="16"/>
                <w:lang w:val="en-US" w:eastAsia="sk-SK"/>
              </w:rPr>
              <w:t>8</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hyperlink r:id="rId15"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therecord in theCentralRegistry of PublicationActivity (CRPA) or theCentralRegistry of ArtisticActivity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OCA9. Hyperlink na záznam v CREPČ alebo CREUČ / Hyperlink to therecord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rsidR="00497E8F" w:rsidRPr="00E31F09" w:rsidRDefault="00497E8F">
            <w:pPr>
              <w:spacing w:after="0" w:line="240" w:lineRule="auto"/>
              <w:rPr>
                <w:rFonts w:ascii="Calibri" w:eastAsia="Times New Roman" w:hAnsi="Calibri" w:cs="Calibri"/>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thatisnotregistered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OCA10. Hyperlink na záznam v inom verejne prístupnom registri, katalógu výstupov tvorivých činností / Hyperlink to therecord in anotherpubliclyaccessible register, catalogue of research/ artistic/otheroutputs</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rsidR="000C1668" w:rsidRPr="000C1668" w:rsidRDefault="000C1668" w:rsidP="000C1668">
            <w:pPr>
              <w:spacing w:after="0" w:line="240" w:lineRule="auto"/>
              <w:rPr>
                <w:rFonts w:ascii="Calibri Light" w:eastAsia="Times New Roman" w:hAnsi="Calibri Light" w:cs="Calibri Light"/>
                <w:color w:val="000000"/>
                <w:sz w:val="20"/>
                <w:szCs w:val="20"/>
                <w:lang w:eastAsia="sk-SK"/>
              </w:rPr>
            </w:pPr>
            <w:r>
              <w:rPr>
                <w:rFonts w:ascii="Calibri Light" w:eastAsia="Times New Roman" w:hAnsi="Calibri Light" w:cs="Calibri Light"/>
                <w:color w:val="000000"/>
                <w:sz w:val="20"/>
                <w:szCs w:val="20"/>
                <w:lang w:eastAsia="sk-SK"/>
              </w:rPr>
              <w:t>http://www.sociologia.eu.sk/wp-</w:t>
            </w:r>
            <w:r w:rsidRPr="00BD0057">
              <w:rPr>
                <w:rFonts w:ascii="Calibri Light" w:eastAsia="Times New Roman" w:hAnsi="Calibri Light" w:cs="Calibri Light"/>
                <w:color w:val="000000"/>
                <w:sz w:val="20"/>
                <w:szCs w:val="20"/>
                <w:lang w:eastAsia="sk-SK"/>
              </w:rPr>
              <w:t>content/uploads/SSS_Stvrtstorocie_sociologie_2018.pdf</w:t>
            </w:r>
          </w:p>
          <w:p w:rsidR="00497E8F" w:rsidRPr="00E31F09" w:rsidRDefault="00497E8F" w:rsidP="000C1668">
            <w:pPr>
              <w:rPr>
                <w:rFonts w:ascii="Calibri" w:eastAsia="Times New Roman" w:hAnsi="Calibri" w:cs="Calibri"/>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51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theformat of the CRPA or the CRAA bibliographicrecord, ifthe output isnotavailable in a publiclyaccessible register or catalogue of outputs</w:t>
            </w:r>
          </w:p>
        </w:tc>
        <w:tc>
          <w:tcPr>
            <w:tcW w:w="5245" w:type="dxa"/>
            <w:tcBorders>
              <w:top w:val="nil"/>
              <w:left w:val="nil"/>
              <w:bottom w:val="single" w:sz="8" w:space="0" w:color="auto"/>
              <w:right w:val="single" w:sz="8" w:space="0" w:color="auto"/>
            </w:tcBorders>
            <w:shd w:val="clear" w:color="auto" w:fill="auto"/>
          </w:tcPr>
          <w:p w:rsidR="00497E8F" w:rsidRPr="00E31F09" w:rsidRDefault="000C1668" w:rsidP="000C1668">
            <w:pPr>
              <w:rPr>
                <w:rFonts w:ascii="Calibri" w:eastAsia="Times New Roman" w:hAnsi="Calibri" w:cs="Calibri"/>
                <w:color w:val="000000"/>
                <w:sz w:val="16"/>
                <w:szCs w:val="16"/>
                <w:lang w:eastAsia="sk-SK"/>
              </w:rPr>
            </w:pPr>
            <w:r w:rsidRPr="00BD0057">
              <w:rPr>
                <w:rFonts w:ascii="Calibri Light" w:eastAsia="Times New Roman" w:hAnsi="Calibri Light" w:cs="Calibri Light"/>
                <w:color w:val="000000"/>
                <w:sz w:val="16"/>
                <w:szCs w:val="16"/>
                <w:lang w:eastAsia="sk-SK"/>
              </w:rPr>
              <w:t>MATULNÍK J. 50%,  PASTOR  K., 2018  : Kultúrne zmeny a rodinné správanie na Slovensku za posledné štvrťstoročie. In: Laiferová E. /ed/: Štvrťstoročie sociológie na samostatnom Slovensku. Vydal STIMUL pre Slovenskú sociologickú spoločnosť pri SAV, Bratislava. s. 57-69</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290"/>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hyperlink r:id="rId18" w:anchor="Expl.OCA12!A1" w:history="1">
              <w:r w:rsidR="00270EC5">
                <w:rPr>
                  <w:rFonts w:ascii="Calibri" w:eastAsia="Times New Roman" w:hAnsi="Calibri" w:cs="Calibri"/>
                  <w:sz w:val="16"/>
                  <w:szCs w:val="16"/>
                  <w:lang w:eastAsia="sk-SK"/>
                </w:rPr>
                <w:t>OCA12. Typ výstupu (ak nie je výstup registrovaný v CREPČ alebo CREUČ) / Type of the output (ifthe output isnotregistered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Choicefrom 67 options (seeExplanationsfor OCA12). </w:t>
              </w:r>
            </w:hyperlink>
          </w:p>
        </w:tc>
        <w:tc>
          <w:tcPr>
            <w:tcW w:w="5245" w:type="dxa"/>
            <w:tcBorders>
              <w:top w:val="nil"/>
              <w:left w:val="nil"/>
              <w:bottom w:val="single" w:sz="8" w:space="0" w:color="auto"/>
              <w:right w:val="single" w:sz="8" w:space="0" w:color="auto"/>
            </w:tcBorders>
            <w:shd w:val="clear" w:color="auto" w:fill="auto"/>
          </w:tcPr>
          <w:p w:rsidR="00497E8F" w:rsidRPr="0083744F" w:rsidRDefault="006F536C" w:rsidP="00E31F09">
            <w:pPr>
              <w:pStyle w:val="Textpoznmkypodiarou"/>
              <w:rPr>
                <w:rFonts w:ascii="Calibri" w:eastAsia="Times New Roman" w:hAnsi="Calibri" w:cs="Calibri"/>
                <w:i/>
                <w:iCs/>
                <w:color w:val="000000"/>
                <w:sz w:val="16"/>
                <w:szCs w:val="16"/>
                <w:lang w:eastAsia="sk-SK"/>
              </w:rPr>
            </w:pPr>
            <w:r w:rsidRPr="008135B3">
              <w:t>AE</w:t>
            </w:r>
            <w:r w:rsidR="000C1668">
              <w:t>D</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110"/>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thewebpagewherethe output isavailable (full text, otherdocumentation, etc.)</w:t>
            </w:r>
          </w:p>
        </w:tc>
        <w:tc>
          <w:tcPr>
            <w:tcW w:w="5245" w:type="dxa"/>
            <w:tcBorders>
              <w:top w:val="nil"/>
              <w:left w:val="nil"/>
              <w:bottom w:val="single" w:sz="8" w:space="0" w:color="auto"/>
              <w:right w:val="single" w:sz="8" w:space="0" w:color="auto"/>
            </w:tcBorders>
            <w:shd w:val="clear" w:color="auto" w:fill="auto"/>
          </w:tcPr>
          <w:p w:rsidR="000C1668" w:rsidRPr="000C1668" w:rsidRDefault="000C1668" w:rsidP="000C1668">
            <w:pPr>
              <w:spacing w:after="0" w:line="240" w:lineRule="auto"/>
              <w:rPr>
                <w:rFonts w:ascii="Calibri Light" w:eastAsia="Times New Roman" w:hAnsi="Calibri Light" w:cs="Calibri Light"/>
                <w:color w:val="000000"/>
                <w:sz w:val="20"/>
                <w:szCs w:val="20"/>
                <w:lang w:eastAsia="sk-SK"/>
              </w:rPr>
            </w:pPr>
            <w:r>
              <w:rPr>
                <w:rFonts w:ascii="Calibri Light" w:eastAsia="Times New Roman" w:hAnsi="Calibri Light" w:cs="Calibri Light"/>
                <w:color w:val="000000"/>
                <w:sz w:val="20"/>
                <w:szCs w:val="20"/>
                <w:lang w:eastAsia="sk-SK"/>
              </w:rPr>
              <w:t>http://www.sociologia.eu.sk/wp-</w:t>
            </w:r>
            <w:r w:rsidRPr="00BD0057">
              <w:rPr>
                <w:rFonts w:ascii="Calibri Light" w:eastAsia="Times New Roman" w:hAnsi="Calibri Light" w:cs="Calibri Light"/>
                <w:color w:val="000000"/>
                <w:sz w:val="20"/>
                <w:szCs w:val="20"/>
                <w:lang w:eastAsia="sk-SK"/>
              </w:rPr>
              <w:t>content/uploads/SSS_Stvrtstorocie_sociologie_2018.pdf</w:t>
            </w:r>
          </w:p>
          <w:p w:rsidR="00497E8F" w:rsidRPr="00E31F09" w:rsidRDefault="00497E8F" w:rsidP="000C1668">
            <w:pPr>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76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theauthor'scontribution</w:t>
            </w:r>
          </w:p>
        </w:tc>
        <w:tc>
          <w:tcPr>
            <w:tcW w:w="5245" w:type="dxa"/>
            <w:tcBorders>
              <w:top w:val="nil"/>
              <w:left w:val="nil"/>
              <w:bottom w:val="single" w:sz="8" w:space="0" w:color="auto"/>
              <w:right w:val="single" w:sz="8" w:space="0" w:color="auto"/>
            </w:tcBorders>
            <w:shd w:val="clear" w:color="auto" w:fill="auto"/>
          </w:tcPr>
          <w:p w:rsidR="00214AE8" w:rsidRDefault="00214AE8" w:rsidP="00214AE8">
            <w:pPr>
              <w:pStyle w:val="PredformtovanHTML"/>
              <w:shd w:val="clear" w:color="auto" w:fill="F8F9FA"/>
              <w:spacing w:line="360" w:lineRule="atLeast"/>
              <w:rPr>
                <w:rFonts w:asciiTheme="minorHAnsi" w:hAnsiTheme="minorHAnsi" w:hint="default"/>
                <w:color w:val="202124"/>
                <w:sz w:val="16"/>
                <w:szCs w:val="16"/>
                <w:lang w:val="sk-SK"/>
              </w:rPr>
            </w:pPr>
            <w:r>
              <w:rPr>
                <w:rFonts w:ascii="Calibri" w:eastAsia="Times New Roman" w:hAnsi="Calibri" w:cs="Calibri"/>
                <w:color w:val="000000"/>
                <w:sz w:val="16"/>
                <w:szCs w:val="16"/>
                <w:lang w:eastAsia="sk-SK"/>
              </w:rPr>
              <w:t> </w:t>
            </w:r>
            <w:r w:rsidRPr="000C1668">
              <w:rPr>
                <w:rFonts w:ascii="Calibri" w:eastAsia="Times New Roman" w:hAnsi="Calibri" w:cs="Calibri" w:hint="default"/>
                <w:color w:val="000000"/>
                <w:sz w:val="20"/>
                <w:szCs w:val="20"/>
                <w:lang w:eastAsia="sk-SK"/>
              </w:rPr>
              <w:t>podiel</w:t>
            </w:r>
            <w:r w:rsidR="000C1668">
              <w:rPr>
                <w:rFonts w:ascii="Calibri" w:eastAsia="Times New Roman" w:hAnsi="Calibri" w:cs="Calibri" w:hint="default"/>
                <w:color w:val="000000"/>
                <w:sz w:val="20"/>
                <w:szCs w:val="20"/>
                <w:lang w:eastAsia="sk-SK"/>
              </w:rPr>
              <w:t xml:space="preserve"> </w:t>
            </w:r>
            <w:r w:rsidRPr="000C1668">
              <w:rPr>
                <w:rFonts w:ascii="Calibri" w:eastAsia="Times New Roman" w:hAnsi="Calibri" w:cs="Calibri" w:hint="default"/>
                <w:color w:val="000000"/>
                <w:sz w:val="20"/>
                <w:szCs w:val="20"/>
                <w:lang w:eastAsia="sk-SK"/>
              </w:rPr>
              <w:t xml:space="preserve">autora Jozef Matulník 50% / </w:t>
            </w:r>
            <w:r w:rsidRPr="000C1668">
              <w:rPr>
                <w:rFonts w:asciiTheme="minorHAnsi" w:hAnsiTheme="minorHAnsi" w:hint="default"/>
                <w:color w:val="202124"/>
                <w:sz w:val="20"/>
                <w:szCs w:val="20"/>
                <w:shd w:val="clear" w:color="auto" w:fill="F8F9FA"/>
              </w:rPr>
              <w:t>author's contribution</w:t>
            </w:r>
            <w:r w:rsidRPr="000C1668">
              <w:rPr>
                <w:rFonts w:asciiTheme="minorHAnsi" w:hAnsiTheme="minorHAnsi" w:hint="default"/>
                <w:color w:val="202124"/>
                <w:sz w:val="20"/>
                <w:szCs w:val="20"/>
                <w:shd w:val="clear" w:color="auto" w:fill="F8F9FA"/>
                <w:lang w:val="sk-SK"/>
              </w:rPr>
              <w:t xml:space="preserve"> Jozef Matulník 50</w:t>
            </w:r>
            <w:r>
              <w:rPr>
                <w:rFonts w:asciiTheme="minorHAnsi" w:hAnsiTheme="minorHAnsi" w:hint="default"/>
                <w:color w:val="202124"/>
                <w:sz w:val="16"/>
                <w:szCs w:val="16"/>
                <w:shd w:val="clear" w:color="auto" w:fill="F8F9FA"/>
                <w:lang w:val="sk-SK"/>
              </w:rPr>
              <w:t>%</w:t>
            </w:r>
          </w:p>
          <w:p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EA1D8B">
        <w:trPr>
          <w:trHeight w:val="140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withcontextualinformationconcerningthedescription of creativeprocess and thecontent of theresearch/artistic/otheractivity,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Rangeup to 200 words in Slovak</w:t>
              </w:r>
              <w:r w:rsidR="00270EC5">
                <w:rPr>
                  <w:rFonts w:ascii="Calibri" w:eastAsia="Times New Roman" w:hAnsi="Calibri" w:cs="Calibri"/>
                  <w:i/>
                  <w:iCs/>
                  <w:color w:val="808080"/>
                  <w:sz w:val="16"/>
                  <w:szCs w:val="16"/>
                  <w:lang w:eastAsia="sk-SK"/>
                </w:rPr>
                <w:br w:type="page"/>
                <w:t xml:space="preserve">Rozsah do 200 slov v anglickom jazyku / Rangeup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rsidR="001626E5" w:rsidRPr="002E65BF" w:rsidRDefault="002E65BF" w:rsidP="002E65BF">
            <w:pPr>
              <w:rPr>
                <w:rFonts w:ascii="Times New Roman" w:hAnsi="Times New Roman" w:cs="Times New Roman"/>
                <w:sz w:val="24"/>
                <w:szCs w:val="24"/>
              </w:rPr>
            </w:pPr>
            <w:r>
              <w:t>V príspevku prezentujeme vybrané poznatky z našich analýz zameraných na kultúrno-hodnotové faktory rodinného a reprodukčného správanie. Spracovávali sme pritom dáta z oficiálnych štatistík a zo štyroch celoslovenských reprezentatívnych výskumov so zberom dát v rozpätí rokov 2001 až 2013. Naše poznatky interpretujeme v konceptuálnom rámci druhej demografickej revolúcie. Venujeme pozornosť aj alternatívnemu výkladu Arlanda Thorntona, ktorý pri výklade zmien rodinného a reprodukčného správania v strednej a východnej Európe akcentuje pôsobenie kultúrnej difúzie. Nami získané údaje o nízkej pôrodnosti a úrovni sobášnosti, vysokom podiele detí narodených mimo manželstva, vysokej rozvodovosti i údaje o rozporuplnom vzťahu obyvateľov Slovenska k inštitúcii manželstva a permisívnych postojoch ku kohabitáciam nasvedčujú tomu, že sú výrazne oslabené sociálne normy, ktoré spájajú reprodukčné správanie s trvalým vzťahom medzi mužom a ženou a s inštitúciou manželstva. Konštatujeme, ņe v dohľadnej dobe sa nedá očakávať zvyšovanie pôrodnosti a plodnosti bez zvyšovania sobášnosti. Empiricky sa potvrdilo, že dôležitým protektívnym faktorom voči oslabovaniu inštitúcie manželstva je u nás religiozita.</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497E8F" w:rsidRDefault="00B02A57">
            <w:pPr>
              <w:spacing w:after="0" w:line="240" w:lineRule="auto"/>
              <w:rPr>
                <w:rFonts w:ascii="Calibri" w:eastAsia="Times New Roman" w:hAnsi="Calibri" w:cs="Calibri"/>
                <w:sz w:val="16"/>
                <w:szCs w:val="16"/>
                <w:lang w:eastAsia="sk-SK"/>
              </w:rPr>
            </w:pPr>
            <w:hyperlink r:id="rId20"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Rangeup to 200 words</w:t>
              </w:r>
            </w:hyperlink>
          </w:p>
        </w:tc>
        <w:tc>
          <w:tcPr>
            <w:tcW w:w="5245" w:type="dxa"/>
            <w:tcBorders>
              <w:top w:val="nil"/>
              <w:left w:val="single" w:sz="8" w:space="0" w:color="auto"/>
              <w:bottom w:val="single" w:sz="8" w:space="0" w:color="auto"/>
              <w:right w:val="single" w:sz="8" w:space="0" w:color="auto"/>
            </w:tcBorders>
            <w:shd w:val="clear" w:color="auto" w:fill="auto"/>
          </w:tcPr>
          <w:p w:rsidR="007766D2" w:rsidRDefault="002E65BF" w:rsidP="00214AE8">
            <w:pPr>
              <w:spacing w:after="0" w:line="240" w:lineRule="auto"/>
              <w:rPr>
                <w:rFonts w:ascii="Calibri" w:eastAsia="Times New Roman" w:hAnsi="Calibri" w:cs="Calibri"/>
                <w:color w:val="000000"/>
                <w:sz w:val="16"/>
                <w:szCs w:val="16"/>
                <w:lang w:eastAsia="sk-SK"/>
              </w:rPr>
            </w:pPr>
            <w:r w:rsidRPr="002E65BF">
              <w:rPr>
                <w:rFonts w:ascii="Calibri" w:eastAsia="Times New Roman" w:hAnsi="Calibri" w:cs="Calibri"/>
                <w:color w:val="000000"/>
                <w:sz w:val="16"/>
                <w:szCs w:val="16"/>
                <w:lang w:eastAsia="sk-SK"/>
              </w:rPr>
              <w:t>In the paper, we present selected findings from our analyzes focused on cultural-value factors of family and reproductive behavior. In doing so, we processed data from official statistics and from four all-Slovak representative surveys with data collection between 2001 and 2013. We interpret our findings in the conceptual framework of the second demographic revolution. We also pay attention to Arland Thornton's alternative interpretation, which emphasizes the effect of cultural diffusion when interpreting changes in family and reproductive behavior in Central and Eastern Europe. The data obtained by us on the low birth rate and marriage rate, the high proportion of children born out of wedlock, the high divorce rate, as well as the data on the contradictory relationship of the inhabitants of Slovakia to the institution of marriage and permissive attitudes towards cohabitation indicate that the social norms that connect reproductive behavior with permanent the relationship between a man and a woman and the institution of marriage. We conclude that in the foreseeable future, it is not possible to expect an increase in the birth rate and fertility without an increase in the marriage rate. It has been empirically confirmed that religiosity is an important protective factor against the weakening of the institution of marriage in our country.</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significantcitationscorresponding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Rangeup to 200 words</w:t>
            </w:r>
          </w:p>
        </w:tc>
        <w:tc>
          <w:tcPr>
            <w:tcW w:w="5245" w:type="dxa"/>
            <w:tcBorders>
              <w:top w:val="nil"/>
              <w:left w:val="single" w:sz="8" w:space="0" w:color="auto"/>
              <w:bottom w:val="single" w:sz="8" w:space="0" w:color="auto"/>
              <w:right w:val="single" w:sz="8" w:space="0" w:color="auto"/>
            </w:tcBorders>
            <w:shd w:val="clear" w:color="auto" w:fill="auto"/>
          </w:tcPr>
          <w:p w:rsidR="00C26AC3" w:rsidRDefault="00C26AC3" w:rsidP="00C26AC3">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OCA18. Charakteristika dopadu výstupu na spoločensko-hospodársku prax / Characteristics of theoutput'simpact on socio-economicpractice</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Rangeup to 200 words in Slovak</w:t>
            </w:r>
            <w:r>
              <w:rPr>
                <w:rFonts w:ascii="Calibri" w:eastAsia="Times New Roman" w:hAnsi="Calibri" w:cs="Calibri"/>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9C7963" w:rsidRPr="005F04B5" w:rsidRDefault="005F04B5" w:rsidP="009C7963">
            <w:pPr>
              <w:pStyle w:val="PredformtovanHTML"/>
              <w:shd w:val="clear" w:color="auto" w:fill="F8F9FA"/>
              <w:rPr>
                <w:rFonts w:ascii="Calibri" w:eastAsia="Times New Roman" w:hAnsi="Calibri" w:cs="Calibri" w:hint="default"/>
                <w:color w:val="000000"/>
                <w:lang w:val="sk-SK" w:eastAsia="sk-SK"/>
              </w:rPr>
            </w:pPr>
            <w:r w:rsidRPr="005F04B5">
              <w:rPr>
                <w:rFonts w:ascii="Calibri" w:eastAsia="Times New Roman" w:hAnsi="Calibri" w:cs="Calibri" w:hint="default"/>
                <w:color w:val="000000"/>
                <w:lang w:val="sk-SK" w:eastAsia="sk-SK"/>
              </w:rPr>
              <w:t>rodinná politika/family policy</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relatedactivities' impact on theeducationalprocess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Rangeup to 200 words in Slovak</w:t>
            </w:r>
            <w:r>
              <w:rPr>
                <w:rFonts w:ascii="Calibri" w:eastAsia="Times New Roman" w:hAnsi="Calibri" w:cs="Calibri"/>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497E8F" w:rsidRPr="005F04B5" w:rsidRDefault="005F04B5" w:rsidP="00096A2A">
            <w:pPr>
              <w:spacing w:after="0" w:line="240" w:lineRule="auto"/>
              <w:rPr>
                <w:rFonts w:ascii="Calibri" w:eastAsia="Times New Roman" w:hAnsi="Calibri" w:cs="Calibri"/>
                <w:color w:val="000000"/>
                <w:sz w:val="24"/>
                <w:szCs w:val="24"/>
                <w:lang w:eastAsia="sk-SK"/>
              </w:rPr>
            </w:pPr>
            <w:r w:rsidRPr="005F04B5">
              <w:rPr>
                <w:rFonts w:ascii="Calibri" w:eastAsia="Times New Roman" w:hAnsi="Calibri" w:cs="Calibri"/>
                <w:color w:val="000000"/>
                <w:sz w:val="24"/>
                <w:szCs w:val="24"/>
                <w:lang w:eastAsia="sk-SK"/>
              </w:rPr>
              <w:t xml:space="preserve">výučba predmetov v oblasti práce s rodinami </w:t>
            </w:r>
            <w:r>
              <w:rPr>
                <w:rFonts w:ascii="Calibri" w:eastAsia="Times New Roman" w:hAnsi="Calibri" w:cs="Calibri"/>
                <w:color w:val="000000"/>
                <w:sz w:val="24"/>
                <w:szCs w:val="24"/>
                <w:lang w:eastAsia="sk-SK"/>
              </w:rPr>
              <w:t>/</w:t>
            </w:r>
            <w:r w:rsidRPr="005F04B5">
              <w:rPr>
                <w:rFonts w:ascii="Calibri" w:eastAsia="Times New Roman" w:hAnsi="Calibri" w:cs="Calibri"/>
                <w:color w:val="000000"/>
                <w:sz w:val="24"/>
                <w:szCs w:val="24"/>
                <w:lang w:eastAsia="sk-SK"/>
              </w:rPr>
              <w:t>teaching subjects in the field of work with families</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bl>
    <w:p w:rsidR="00497E8F" w:rsidRDefault="00497E8F"/>
    <w:sectPr w:rsidR="00497E8F" w:rsidSect="00EB092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764" w:rsidRDefault="00B10764">
      <w:pPr>
        <w:spacing w:line="240" w:lineRule="auto"/>
      </w:pPr>
      <w:r>
        <w:separator/>
      </w:r>
    </w:p>
  </w:endnote>
  <w:endnote w:type="continuationSeparator" w:id="1">
    <w:p w:rsidR="00B10764" w:rsidRDefault="00B1076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10002FF" w:usb1="4000ACFF" w:usb2="00000009" w:usb3="00000000" w:csb0="0000019F" w:csb1="00000000"/>
  </w:font>
  <w:font w:name="Liberation Serif">
    <w:altName w:val="SimSun"/>
    <w:charset w:val="86"/>
    <w:family w:val="auto"/>
    <w:pitch w:val="default"/>
    <w:sig w:usb0="E0000AFF" w:usb1="500078FF" w:usb2="00000021" w:usb3="00000000" w:csb0="600001BF" w:csb1="DFF70000"/>
  </w:font>
  <w:font w:name="Calibri Light">
    <w:altName w:val="Arial"/>
    <w:charset w:val="EE"/>
    <w:family w:val="swiss"/>
    <w:pitch w:val="variable"/>
    <w:sig w:usb0="00000000" w:usb1="C000247B" w:usb2="00000009" w:usb3="00000000" w:csb0="000001FF" w:csb1="00000000"/>
  </w:font>
  <w:font w:name="Trebuchet MS">
    <w:panose1 w:val="020B0603020202020204"/>
    <w:charset w:val="EE"/>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764" w:rsidRDefault="00B10764">
      <w:pPr>
        <w:spacing w:after="0"/>
      </w:pPr>
      <w:r>
        <w:separator/>
      </w:r>
    </w:p>
  </w:footnote>
  <w:footnote w:type="continuationSeparator" w:id="1">
    <w:p w:rsidR="00B10764" w:rsidRDefault="00B1076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doNotExpandShiftReturn/>
    <w:useFELayout/>
  </w:compat>
  <w:rsids>
    <w:rsidRoot w:val="00211BB7"/>
    <w:rsid w:val="00064A3F"/>
    <w:rsid w:val="00071544"/>
    <w:rsid w:val="00096A2A"/>
    <w:rsid w:val="000C1668"/>
    <w:rsid w:val="000F2BAC"/>
    <w:rsid w:val="000F45D2"/>
    <w:rsid w:val="001626E5"/>
    <w:rsid w:val="00190A9C"/>
    <w:rsid w:val="001E32A6"/>
    <w:rsid w:val="00211BB7"/>
    <w:rsid w:val="00214AE8"/>
    <w:rsid w:val="00270EC5"/>
    <w:rsid w:val="002E65BF"/>
    <w:rsid w:val="00326FB8"/>
    <w:rsid w:val="003971C7"/>
    <w:rsid w:val="004031A0"/>
    <w:rsid w:val="00425285"/>
    <w:rsid w:val="00482CB2"/>
    <w:rsid w:val="00497E8F"/>
    <w:rsid w:val="004A13DC"/>
    <w:rsid w:val="004C0ADE"/>
    <w:rsid w:val="00544CA5"/>
    <w:rsid w:val="00566017"/>
    <w:rsid w:val="0058598B"/>
    <w:rsid w:val="005B40FD"/>
    <w:rsid w:val="005F04B5"/>
    <w:rsid w:val="006F536C"/>
    <w:rsid w:val="0073261A"/>
    <w:rsid w:val="007766D2"/>
    <w:rsid w:val="007E1DDE"/>
    <w:rsid w:val="008311D2"/>
    <w:rsid w:val="0083744F"/>
    <w:rsid w:val="008E2CA9"/>
    <w:rsid w:val="009010F0"/>
    <w:rsid w:val="0092324B"/>
    <w:rsid w:val="009407C3"/>
    <w:rsid w:val="00950E3A"/>
    <w:rsid w:val="00987C34"/>
    <w:rsid w:val="009922EF"/>
    <w:rsid w:val="009A7EFB"/>
    <w:rsid w:val="009B66D2"/>
    <w:rsid w:val="009C7963"/>
    <w:rsid w:val="009F5971"/>
    <w:rsid w:val="00A5437F"/>
    <w:rsid w:val="00A63D8C"/>
    <w:rsid w:val="00AD0A89"/>
    <w:rsid w:val="00B02A57"/>
    <w:rsid w:val="00B10528"/>
    <w:rsid w:val="00B10764"/>
    <w:rsid w:val="00B11E9B"/>
    <w:rsid w:val="00B1521A"/>
    <w:rsid w:val="00B70FF2"/>
    <w:rsid w:val="00BB6175"/>
    <w:rsid w:val="00C11253"/>
    <w:rsid w:val="00C26AC3"/>
    <w:rsid w:val="00C7760E"/>
    <w:rsid w:val="00C814DC"/>
    <w:rsid w:val="00C92CA6"/>
    <w:rsid w:val="00CA400E"/>
    <w:rsid w:val="00CD0A24"/>
    <w:rsid w:val="00D31D8F"/>
    <w:rsid w:val="00D7387E"/>
    <w:rsid w:val="00E31F09"/>
    <w:rsid w:val="00E82976"/>
    <w:rsid w:val="00EA1D8B"/>
    <w:rsid w:val="00EB0920"/>
    <w:rsid w:val="00EC3B68"/>
    <w:rsid w:val="00EC3E99"/>
    <w:rsid w:val="00F1193B"/>
    <w:rsid w:val="00FA1AAB"/>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HTML Preformatted"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B0920"/>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rsid w:val="00EB0920"/>
    <w:pPr>
      <w:spacing w:after="0" w:line="240" w:lineRule="auto"/>
    </w:pPr>
    <w:rPr>
      <w:sz w:val="20"/>
      <w:szCs w:val="20"/>
    </w:rPr>
  </w:style>
  <w:style w:type="paragraph" w:styleId="PredformtovanHTML">
    <w:name w:val="HTML Preformatted"/>
    <w:uiPriority w:val="99"/>
    <w:semiHidden/>
    <w:unhideWhenUsed/>
    <w:qFormat/>
    <w:rsid w:val="00EB0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sid w:val="00EB0920"/>
    <w:rPr>
      <w:color w:val="0563C1"/>
      <w:u w:val="single"/>
    </w:rPr>
  </w:style>
  <w:style w:type="table" w:styleId="Mriekatabuky">
    <w:name w:val="Table Grid"/>
    <w:basedOn w:val="Normlnatabuka"/>
    <w:uiPriority w:val="39"/>
    <w:rsid w:val="00EB09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qFormat/>
    <w:rsid w:val="00EB0920"/>
    <w:rPr>
      <w:rFonts w:ascii="Liberation Serif" w:eastAsia="Liberation Serif" w:hAnsi="Liberation Serif" w:cs="Liberation Serif"/>
      <w:sz w:val="24"/>
      <w:szCs w:val="24"/>
    </w:rPr>
  </w:style>
  <w:style w:type="table" w:customStyle="1" w:styleId="Normlnatabuka1">
    <w:name w:val="Normálna tabuľka1"/>
    <w:semiHidden/>
    <w:rsid w:val="00EB0920"/>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UnresolvedMention">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1318</Words>
  <Characters>7516</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Ondro</cp:lastModifiedBy>
  <cp:revision>2</cp:revision>
  <dcterms:created xsi:type="dcterms:W3CDTF">2022-08-05T07:21:00Z</dcterms:created>
  <dcterms:modified xsi:type="dcterms:W3CDTF">2022-08-05T07:21:00Z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